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rPr>
          <w:rFonts w:ascii="Calibri" w:cs="Calibri" w:eastAsia="Calibri" w:hAnsi="Calibri"/>
          <w:b w:val="0"/>
          <w:color w:val="ff0000"/>
          <w:sz w:val="28"/>
          <w:szCs w:val="28"/>
          <w:vertAlign w:val="baseline"/>
        </w:rPr>
      </w:pPr>
      <w:r w:rsidDel="00000000" w:rsidR="00000000" w:rsidRPr="00000000">
        <w:rPr>
          <w:rFonts w:ascii="Calibri" w:cs="Calibri" w:eastAsia="Calibri" w:hAnsi="Calibri"/>
          <w:b w:val="1"/>
          <w:color w:val="ff0000"/>
          <w:sz w:val="28"/>
          <w:szCs w:val="28"/>
          <w:vertAlign w:val="baseline"/>
          <w:rtl w:val="0"/>
        </w:rPr>
        <w:t xml:space="preserve">TOOL:</w:t>
      </w:r>
      <w:r w:rsidDel="00000000" w:rsidR="00000000" w:rsidRPr="00000000">
        <w:rPr>
          <w:rFonts w:ascii="Calibri" w:cs="Calibri" w:eastAsia="Calibri" w:hAnsi="Calibri"/>
          <w:b w:val="1"/>
          <w:sz w:val="28"/>
          <w:szCs w:val="28"/>
          <w:vertAlign w:val="baseline"/>
          <w:rtl w:val="0"/>
        </w:rPr>
        <w:t xml:space="preserve"> </w:t>
      </w:r>
      <w:r w:rsidDel="00000000" w:rsidR="00000000" w:rsidRPr="00000000">
        <w:rPr>
          <w:rFonts w:ascii="Calibri" w:cs="Calibri" w:eastAsia="Calibri" w:hAnsi="Calibri"/>
          <w:b w:val="1"/>
          <w:color w:val="ff0000"/>
          <w:sz w:val="28"/>
          <w:szCs w:val="28"/>
          <w:vertAlign w:val="baseline"/>
          <w:rtl w:val="0"/>
        </w:rPr>
        <w:t xml:space="preserve">Preventing problems with supplies</w:t>
      </w:r>
      <w:r w:rsidDel="00000000" w:rsidR="00000000" w:rsidRPr="00000000">
        <w:rPr>
          <w:rtl w:val="0"/>
        </w:rPr>
      </w:r>
    </w:p>
    <w:p w:rsidR="00000000" w:rsidDel="00000000" w:rsidP="00000000" w:rsidRDefault="00000000" w:rsidRPr="00000000" w14:paraId="00000002">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Use this tool to help adolescents to discuss ways to prevent and solve problems related to supplies, including misuse, damage and theft. </w:t>
      </w:r>
    </w:p>
    <w:p w:rsidR="00000000" w:rsidDel="00000000" w:rsidP="00000000" w:rsidRDefault="00000000" w:rsidRPr="00000000" w14:paraId="00000003">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Copy the matrix below onto a large piece of paper, and ask adolescents to discuss the scenarios outlined. Encourage the adolescents to replace or add scenarios that are more relevant to their community, and to agree on strategies for preventing or solving these problems. </w:t>
      </w:r>
    </w:p>
    <w:tbl>
      <w:tblPr>
        <w:tblStyle w:val="Table1"/>
        <w:tblW w:w="85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61"/>
        <w:gridCol w:w="2610"/>
        <w:gridCol w:w="2545"/>
        <w:tblGridChange w:id="0">
          <w:tblGrid>
            <w:gridCol w:w="3361"/>
            <w:gridCol w:w="2610"/>
            <w:gridCol w:w="2545"/>
          </w:tblGrid>
        </w:tblGridChange>
      </w:tblGrid>
      <w:tr>
        <w:trPr>
          <w:cantSplit w:val="0"/>
          <w:tblHeader w:val="0"/>
        </w:trPr>
        <w:tc>
          <w:tcPr>
            <w:shd w:fill="f3f3f3" w:val="clear"/>
            <w:vAlign w:val="top"/>
          </w:tcPr>
          <w:p w:rsidR="00000000" w:rsidDel="00000000" w:rsidP="00000000" w:rsidRDefault="00000000" w:rsidRPr="00000000" w14:paraId="00000004">
            <w:pP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Scenario</w:t>
            </w:r>
            <w:r w:rsidDel="00000000" w:rsidR="00000000" w:rsidRPr="00000000">
              <w:rPr>
                <w:rtl w:val="0"/>
              </w:rPr>
            </w:r>
          </w:p>
        </w:tc>
        <w:tc>
          <w:tcPr>
            <w:shd w:fill="f3f3f3" w:val="clear"/>
            <w:vAlign w:val="top"/>
          </w:tcPr>
          <w:p w:rsidR="00000000" w:rsidDel="00000000" w:rsidP="00000000" w:rsidRDefault="00000000" w:rsidRPr="00000000" w14:paraId="00000005">
            <w:pP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How can this problem be prevented?</w:t>
            </w:r>
            <w:r w:rsidDel="00000000" w:rsidR="00000000" w:rsidRPr="00000000">
              <w:rPr>
                <w:rtl w:val="0"/>
              </w:rPr>
            </w:r>
          </w:p>
        </w:tc>
        <w:tc>
          <w:tcPr>
            <w:shd w:fill="f3f3f3" w:val="clear"/>
            <w:vAlign w:val="top"/>
          </w:tcPr>
          <w:p w:rsidR="00000000" w:rsidDel="00000000" w:rsidP="00000000" w:rsidRDefault="00000000" w:rsidRPr="00000000" w14:paraId="00000006">
            <w:pP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How can this problem be solved?</w:t>
            </w:r>
            <w:r w:rsidDel="00000000" w:rsidR="00000000" w:rsidRPr="00000000">
              <w:rPr>
                <w:rtl w:val="0"/>
              </w:rPr>
            </w:r>
          </w:p>
          <w:p w:rsidR="00000000" w:rsidDel="00000000" w:rsidP="00000000" w:rsidRDefault="00000000" w:rsidRPr="00000000" w14:paraId="00000007">
            <w:pPr>
              <w:rPr>
                <w:rFonts w:ascii="Calibri" w:cs="Calibri" w:eastAsia="Calibri" w:hAnsi="Calibri"/>
                <w:b w:val="0"/>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08">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While visiting the local market, you see a vendor selling boxes of markers from the Supply Kit.</w:t>
            </w:r>
          </w:p>
        </w:tc>
        <w:tc>
          <w:tcPr>
            <w:vAlign w:val="top"/>
          </w:tcPr>
          <w:p w:rsidR="00000000" w:rsidDel="00000000" w:rsidP="00000000" w:rsidRDefault="00000000" w:rsidRPr="00000000" w14:paraId="00000009">
            <w:pPr>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0A">
            <w:pPr>
              <w:rPr>
                <w:rFonts w:ascii="Calibri" w:cs="Calibri" w:eastAsia="Calibri" w:hAnsi="Calibri"/>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0B">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 12 year old girl is playing near her home with a jump rope from your set of supplies.</w:t>
            </w:r>
          </w:p>
        </w:tc>
        <w:tc>
          <w:tcPr>
            <w:vAlign w:val="top"/>
          </w:tcPr>
          <w:p w:rsidR="00000000" w:rsidDel="00000000" w:rsidP="00000000" w:rsidRDefault="00000000" w:rsidRPr="00000000" w14:paraId="0000000C">
            <w:pPr>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0D">
            <w:pPr>
              <w:rPr>
                <w:rFonts w:ascii="Calibri" w:cs="Calibri" w:eastAsia="Calibri" w:hAnsi="Calibri"/>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0E">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On yesterday’s inventory list, the inventory keeper (a parent from the community) noted that all five packages of pencils were in the Supply Kit. But today there are only three packages of pencils left.</w:t>
            </w:r>
          </w:p>
        </w:tc>
        <w:tc>
          <w:tcPr>
            <w:vAlign w:val="top"/>
          </w:tcPr>
          <w:p w:rsidR="00000000" w:rsidDel="00000000" w:rsidP="00000000" w:rsidRDefault="00000000" w:rsidRPr="00000000" w14:paraId="0000000F">
            <w:pPr>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10">
            <w:pPr>
              <w:rPr>
                <w:rFonts w:ascii="Calibri" w:cs="Calibri" w:eastAsia="Calibri" w:hAnsi="Calibri"/>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1">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Four weeks after the Supply Kit arrives, the rulers are completely broken and unusable. </w:t>
            </w:r>
          </w:p>
        </w:tc>
        <w:tc>
          <w:tcPr>
            <w:vAlign w:val="top"/>
          </w:tcPr>
          <w:p w:rsidR="00000000" w:rsidDel="00000000" w:rsidP="00000000" w:rsidRDefault="00000000" w:rsidRPr="00000000" w14:paraId="00000012">
            <w:pPr>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13">
            <w:pPr>
              <w:rPr>
                <w:rFonts w:ascii="Calibri" w:cs="Calibri" w:eastAsia="Calibri" w:hAnsi="Calibri"/>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4">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A local government official who oversees education and youth programmes wants to take the facilitators’ tablets from the Supply Kit to use for storing files in his office.</w:t>
            </w:r>
          </w:p>
        </w:tc>
        <w:tc>
          <w:tcPr>
            <w:vAlign w:val="top"/>
          </w:tcPr>
          <w:p w:rsidR="00000000" w:rsidDel="00000000" w:rsidP="00000000" w:rsidRDefault="00000000" w:rsidRPr="00000000" w14:paraId="00000015">
            <w:pPr>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16">
            <w:pPr>
              <w:rPr>
                <w:rFonts w:ascii="Calibri" w:cs="Calibri" w:eastAsia="Calibri" w:hAnsi="Calibri"/>
                <w:sz w:val="24"/>
                <w:szCs w:val="24"/>
                <w:vertAlign w:val="baseline"/>
              </w:rPr>
            </w:pPr>
            <w:r w:rsidDel="00000000" w:rsidR="00000000" w:rsidRPr="00000000">
              <w:rPr>
                <w:rtl w:val="0"/>
              </w:rPr>
            </w:r>
          </w:p>
        </w:tc>
      </w:tr>
    </w:tbl>
    <w:p w:rsidR="00000000" w:rsidDel="00000000" w:rsidP="00000000" w:rsidRDefault="00000000" w:rsidRPr="00000000" w14:paraId="00000017">
      <w:pPr>
        <w:rPr>
          <w:vertAlign w:val="baseline"/>
        </w:rPr>
      </w:pPr>
      <w:r w:rsidDel="00000000" w:rsidR="00000000" w:rsidRPr="00000000">
        <w:rPr>
          <w:rtl w:val="0"/>
        </w:rPr>
      </w:r>
    </w:p>
    <w:sectPr>
      <w:pgSz w:h="16840" w:w="1190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